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87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Instituto Superior de Formación Docente y Técnica N°46</w:t>
      </w:r>
      <w:r w:rsidDel="00000000" w:rsidR="00000000" w:rsidRPr="00000000">
        <w:rPr>
          <w:b w:val="1"/>
          <w:i w:val="1"/>
          <w:sz w:val="18"/>
          <w:szCs w:val="18"/>
          <w:rtl w:val="0"/>
        </w:rPr>
        <w:tab/>
        <w:t xml:space="preserve">              </w:t>
      </w:r>
      <w:r w:rsidDel="00000000" w:rsidR="00000000" w:rsidRPr="00000000">
        <w:rPr>
          <w:i w:val="1"/>
          <w:sz w:val="18"/>
          <w:szCs w:val="18"/>
          <w:rtl w:val="0"/>
        </w:rPr>
        <w:t xml:space="preserve">Provincia de Buenos Aires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-161924</wp:posOffset>
            </wp:positionH>
            <wp:positionV relativeFrom="paragraph">
              <wp:posOffset>114300</wp:posOffset>
            </wp:positionV>
            <wp:extent cx="919163" cy="906217"/>
            <wp:effectExtent b="0" l="0" r="0" t="0"/>
            <wp:wrapSquare wrapText="bothSides" distB="114300" distT="114300" distL="114300" distR="11430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9163" cy="9062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5387"/>
        </w:tabs>
        <w:spacing w:after="0" w:line="240" w:lineRule="auto"/>
        <w:ind w:left="1134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  <w:tab/>
        <w:t xml:space="preserve">Dirección de Cultura y Educación</w:t>
      </w:r>
    </w:p>
    <w:p w:rsidR="00000000" w:rsidDel="00000000" w:rsidP="00000000" w:rsidRDefault="00000000" w:rsidRPr="00000000" w14:paraId="00000003">
      <w:pPr>
        <w:tabs>
          <w:tab w:val="left" w:leader="none" w:pos="5387"/>
        </w:tabs>
        <w:spacing w:after="0" w:line="240" w:lineRule="auto"/>
        <w:ind w:left="1134" w:firstLine="0"/>
        <w:jc w:val="center"/>
        <w:rPr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ab/>
      </w:r>
      <w:r w:rsidDel="00000000" w:rsidR="00000000" w:rsidRPr="00000000">
        <w:rPr>
          <w:i w:val="1"/>
          <w:sz w:val="18"/>
          <w:szCs w:val="18"/>
          <w:rtl w:val="0"/>
        </w:rPr>
        <w:t xml:space="preserve">Dirección de Educación Superior Docente Primaria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center" w:leader="none" w:pos="48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rtl w:val="0"/>
        </w:rPr>
        <w:t xml:space="preserve">PROGRAMA CURSADA 2025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En el marco del nuevo Régimen Académico Marco Jurisdicciona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l</w:t>
      </w:r>
      <w:r w:rsidDel="00000000" w:rsidR="00000000" w:rsidRPr="00000000">
        <w:rPr>
          <w:rtl w:val="0"/>
        </w:rPr>
      </w:r>
    </w:p>
    <w:tbl>
      <w:tblPr>
        <w:tblStyle w:val="Table1"/>
        <w:tblW w:w="103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0"/>
        <w:gridCol w:w="3015"/>
        <w:gridCol w:w="2460"/>
        <w:gridCol w:w="2460"/>
        <w:tblGridChange w:id="0">
          <w:tblGrid>
            <w:gridCol w:w="2400"/>
            <w:gridCol w:w="3015"/>
            <w:gridCol w:w="2460"/>
            <w:gridCol w:w="24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CARRERA: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Profesorado de Educación                                                  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Primaria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 CURRICULAR</w:t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Educación Física Escolar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CURSO y DIVISIÓN/ES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3°A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FORMATO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Asignatura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MODALIDAD DE CURSADA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Combinada (presencial/semipresencial)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PLAN AUTORIZADO POR RESOLUCIÓN Nº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4154/07 - 1117/09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DOCENTE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Giuliana Tevez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HORAS DE CLASES: 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2 Hs Semanales </w:t>
            </w:r>
          </w:p>
          <w:p w:rsidR="00000000" w:rsidDel="00000000" w:rsidP="00000000" w:rsidRDefault="00000000" w:rsidRPr="00000000" w14:paraId="0000001D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64 Hs Anuales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E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MATERIA/S CORRELATIVA/S 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La materia no contiene correlativas 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3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Modo de ACREDITACIÓN  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Promocional 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0" w:lineRule="auto"/>
        <w:ind w:left="720" w:hanging="360"/>
        <w:rPr>
          <w:rFonts w:ascii="Arial" w:cs="Arial" w:eastAsia="Arial" w:hAnsi="Arial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a64d79"/>
          <w:sz w:val="24"/>
          <w:szCs w:val="24"/>
          <w:rtl w:val="0"/>
        </w:rPr>
        <w:t xml:space="preserve">FUNDAMENTOS DE LA PROPUESTA: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720" w:firstLine="0"/>
        <w:rPr>
          <w:rFonts w:ascii="Arial" w:cs="Arial" w:eastAsia="Arial" w:hAnsi="Arial"/>
          <w:b w:val="1"/>
          <w:color w:val="a64d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4680"/>
        </w:tabs>
        <w:spacing w:after="0" w:line="360" w:lineRule="auto"/>
        <w:ind w:left="1133.858267716535" w:right="1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4680"/>
        </w:tabs>
        <w:spacing w:after="0" w:line="360" w:lineRule="auto"/>
        <w:ind w:left="1133.85826771653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educación física en la escuela promueve la construcción autónoma y la formación de personas íntegras, una de las solicitudes que la sociedad le realiza a la educación, de esta manera se enriquecen la disponibilidad corporal para desempeñarse en las múltiples situaciones de la vida cotidiana, del tiempo libre, el mundo del trabajo entre otras.  </w:t>
      </w:r>
    </w:p>
    <w:p w:rsidR="00000000" w:rsidDel="00000000" w:rsidP="00000000" w:rsidRDefault="00000000" w:rsidRPr="00000000" w14:paraId="0000002D">
      <w:pPr>
        <w:tabs>
          <w:tab w:val="left" w:leader="none" w:pos="4680"/>
        </w:tabs>
        <w:spacing w:after="0" w:line="360" w:lineRule="auto"/>
        <w:ind w:left="1133.858267716535" w:firstLine="0"/>
        <w:jc w:val="both"/>
        <w:rPr>
          <w:b w:val="1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propósito de toda formación docente  es preparar para saber enseñar, por ello los/as futuros maestros deben adquirir elementos que le permitan interactuar con los/as docentes del área en la elaboración y concreción de propuestas que incorporen  la educación del y a través del cuerpo y del movimiento. Entre otros se incluirá en esta materia el análisis y tratamiento de los contenidos propios del diseño de nivel primario, a través de la construcción de  proyectos articulados y transversales de la carrera.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0" w:lineRule="auto"/>
        <w:ind w:left="720" w:hanging="360"/>
        <w:rPr>
          <w:rFonts w:ascii="Arial" w:cs="Arial" w:eastAsia="Arial" w:hAnsi="Arial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a64d79"/>
          <w:sz w:val="24"/>
          <w:szCs w:val="24"/>
          <w:rtl w:val="0"/>
        </w:rPr>
        <w:t xml:space="preserve">PROPÓSITOS DE LA UNIDAD CURRICULAR: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8"/>
        </w:numPr>
        <w:spacing w:after="0" w:before="36.08154296875" w:line="263.36328506469727" w:lineRule="auto"/>
        <w:ind w:left="1440" w:right="973.937007874016" w:hanging="36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Favorecer la legitimación de la Educación Física en el espacio escolar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8"/>
        </w:numPr>
        <w:spacing w:after="0" w:before="0" w:line="263.36328506469727" w:lineRule="auto"/>
        <w:ind w:left="1440" w:right="973.937007874016" w:hanging="36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Promover una Educación Física que comprenda la corporeidad y la motricidad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8"/>
        </w:numPr>
        <w:spacing w:after="0" w:before="0" w:line="263.36328506469727" w:lineRule="auto"/>
        <w:ind w:left="1440" w:right="973.937007874016" w:hanging="36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Contribuir en la adquisición de contenidos curriculares que les permitan la elaboración y concreción de propuestas pedagógicas incorporando la educación del y a través del cuerpo y del movimiento.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ind w:left="144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lineRule="auto"/>
        <w:ind w:left="720" w:hanging="360"/>
        <w:jc w:val="both"/>
        <w:rPr>
          <w:rFonts w:ascii="Arial" w:cs="Arial" w:eastAsia="Arial" w:hAnsi="Arial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a64d79"/>
          <w:sz w:val="24"/>
          <w:szCs w:val="24"/>
          <w:rtl w:val="0"/>
        </w:rPr>
        <w:t xml:space="preserve">OBJETIVOS DE APRENDIZAJE: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ind w:left="72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ind w:left="14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1"/>
        </w:numPr>
        <w:spacing w:after="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comprendan las posibilidades motrices propias del nivel; pudiendo relacionar las prácticas motrices, la salud y calidad de vida.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1"/>
        </w:numPr>
        <w:spacing w:after="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conozcan los contenidos curriculares del área correspondientes al nivel y su organización en el diseño curricular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1"/>
        </w:numPr>
        <w:spacing w:after="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adquieran los elementos necesarios para seleccionar, planificar y evaluar propuestas didácticas que favorezcan la corporeidad y la motricidad.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1"/>
        </w:numPr>
        <w:spacing w:after="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Que vivencien las diversas formas de jugar comprendiendo su  importancia en la transmisión de valores.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1"/>
        </w:numPr>
        <w:spacing w:after="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reflexionen y expresen durante las clases los aprendizajes y/o contenidos vivenciados.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lineRule="auto"/>
        <w:ind w:left="720" w:hanging="360"/>
        <w:jc w:val="both"/>
        <w:rPr>
          <w:rFonts w:ascii="Arial" w:cs="Arial" w:eastAsia="Arial" w:hAnsi="Arial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a64d79"/>
          <w:sz w:val="24"/>
          <w:szCs w:val="24"/>
          <w:rtl w:val="0"/>
        </w:rPr>
        <w:t xml:space="preserve">CONTENIDOS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before="352.24365234375" w:line="240" w:lineRule="auto"/>
        <w:ind w:left="1367.3200988769531" w:firstLine="0"/>
        <w:jc w:val="both"/>
        <w:rPr>
          <w:rFonts w:ascii="Arial" w:cs="Arial" w:eastAsia="Arial" w:hAnsi="Arial"/>
          <w:b w:val="1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a64d79"/>
          <w:sz w:val="24"/>
          <w:szCs w:val="24"/>
          <w:rtl w:val="0"/>
        </w:rPr>
        <w:t xml:space="preserve">Unidad Nº 1 “Los enfoques de la Educación Física” </w:t>
      </w:r>
    </w:p>
    <w:p w:rsidR="00000000" w:rsidDel="00000000" w:rsidP="00000000" w:rsidRDefault="00000000" w:rsidRPr="00000000" w14:paraId="00000041">
      <w:pPr>
        <w:widowControl w:val="0"/>
        <w:spacing w:after="0" w:before="159.37255859375" w:line="366.064453125" w:lineRule="auto"/>
        <w:ind w:left="1371.1601257324219" w:right="1272.855834960937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Diferentes concepciones y perspectivas pedagógicas. Niveles de concreción curricular. El curriculum del nivel. El paradigma humanista: la corporeidad y la motricidad. Enfoque interdisciplinario. </w:t>
      </w:r>
    </w:p>
    <w:p w:rsidR="00000000" w:rsidDel="00000000" w:rsidP="00000000" w:rsidRDefault="00000000" w:rsidRPr="00000000" w14:paraId="00000042">
      <w:pPr>
        <w:widowControl w:val="0"/>
        <w:spacing w:after="0" w:before="159.37255859375" w:line="366.064453125" w:lineRule="auto"/>
        <w:ind w:left="1371.1601257324219" w:right="1272.8558349609375" w:firstLine="0"/>
        <w:jc w:val="both"/>
        <w:rPr>
          <w:rFonts w:ascii="Arial" w:cs="Arial" w:eastAsia="Arial" w:hAnsi="Arial"/>
          <w:b w:val="1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a64d79"/>
          <w:sz w:val="24"/>
          <w:szCs w:val="24"/>
          <w:rtl w:val="0"/>
        </w:rPr>
        <w:t xml:space="preserve">Unidad Nº 2 “La educación física en el Diseño Curricular” </w:t>
      </w:r>
    </w:p>
    <w:p w:rsidR="00000000" w:rsidDel="00000000" w:rsidP="00000000" w:rsidRDefault="00000000" w:rsidRPr="00000000" w14:paraId="00000043">
      <w:pPr>
        <w:widowControl w:val="0"/>
        <w:spacing w:after="0" w:before="159.37255859375" w:line="366.064453125" w:lineRule="auto"/>
        <w:ind w:left="1361.8000793457031" w:right="1264.165039062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Implicancia del concepto de prácticas, preocupación humanista, social y democrática. Conciencia y constitución corporal. Nociones corporales y capacidades motoras. Prácticas gimnásticas, atléticas y acuáticas. Habilidades motoras básicas, combinadas y específicas. Prácticas vinculadas al ambiente natural. Campamentos y juegos en el ambiente. Prácticas ludomotrices. Los juegos sociomotores, deportivos y minideportes. Prácticas motrices expresivas. Comunicación corporal, gestual y motriz. </w:t>
      </w:r>
    </w:p>
    <w:p w:rsidR="00000000" w:rsidDel="00000000" w:rsidP="00000000" w:rsidRDefault="00000000" w:rsidRPr="00000000" w14:paraId="00000044">
      <w:pPr>
        <w:widowControl w:val="0"/>
        <w:spacing w:after="0" w:before="472.7618408203125" w:line="366.064453125" w:lineRule="auto"/>
        <w:ind w:left="1360.6001281738281" w:right="1248.026123046875" w:firstLine="6.7199707031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a64d79"/>
          <w:sz w:val="24"/>
          <w:szCs w:val="24"/>
          <w:rtl w:val="0"/>
        </w:rPr>
        <w:t xml:space="preserve">Unidad N° 3 “Hacia una mirada transversal de la Educación Física”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abordaje de la clase desde la complejidad. La comprensión del hacer motor y corporal. La grupalidad y la construcción de la ciudadanía. La educación sexual integral. La cultura digital y la comunicación. La educación en la diversidad. La educación para la salud. La educación integral ambiental. </w:t>
      </w:r>
    </w:p>
    <w:p w:rsidR="00000000" w:rsidDel="00000000" w:rsidP="00000000" w:rsidRDefault="00000000" w:rsidRPr="00000000" w14:paraId="00000045">
      <w:pPr>
        <w:widowControl w:val="0"/>
        <w:spacing w:after="0" w:before="472.7618408203125" w:line="366.064453125" w:lineRule="auto"/>
        <w:ind w:left="1360.6001281738281" w:right="1248.026123046875" w:firstLine="6.7199707031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a64d79"/>
          <w:sz w:val="24"/>
          <w:szCs w:val="24"/>
          <w:rtl w:val="0"/>
        </w:rPr>
        <w:t xml:space="preserve">Unidad Nº 4 “La construcción de propuestas didácticas”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Planificación, conducción y evaluación de propuestas pedagógicas. El juego como recurso para la enseñanza. Diseño, construcción y conducción de juegos. Interacción y articulación del diseño con otras áreas del conocimiento escolar. Estrategias de enseñanza. La elaboración de proyectos. Evaluación. 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0" w:lineRule="auto"/>
        <w:ind w:left="720" w:hanging="360"/>
        <w:jc w:val="both"/>
        <w:rPr>
          <w:rFonts w:ascii="Arial" w:cs="Arial" w:eastAsia="Arial" w:hAnsi="Arial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a64d79"/>
          <w:sz w:val="24"/>
          <w:szCs w:val="24"/>
          <w:rtl w:val="0"/>
        </w:rPr>
        <w:t xml:space="preserve">BIBLIOGRAFÍA por Unidad PARA EL ESTUDIANTE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left="72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ind w:left="140.92002868652344" w:firstLine="0"/>
        <w:jc w:val="both"/>
        <w:rPr>
          <w:rFonts w:ascii="Arial" w:cs="Arial" w:eastAsia="Arial" w:hAnsi="Arial"/>
          <w:b w:val="1"/>
          <w:color w:val="741b47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741b47"/>
          <w:sz w:val="24"/>
          <w:szCs w:val="24"/>
          <w:rtl w:val="0"/>
        </w:rPr>
        <w:t xml:space="preserve">Unidad N° 1  “Los enfoques de la Educación Física” 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i w:val="1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a64d79"/>
          <w:sz w:val="24"/>
          <w:szCs w:val="24"/>
          <w:rtl w:val="0"/>
        </w:rPr>
        <w:t xml:space="preserve">Bibliografía Obligatoria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7"/>
        </w:numPr>
        <w:spacing w:after="0" w:line="366.064453125" w:lineRule="auto"/>
        <w:ind w:left="720" w:right="53.20312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DGCYE.Diseño de Educación Primaria. Educación Física. Primer y segundo ciclo. La Plata,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7"/>
        </w:numPr>
        <w:spacing w:after="0" w:line="366.064453125" w:lineRule="auto"/>
        <w:ind w:left="720" w:right="53.20312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Ministerio de Educación de la Nación. Núcleos de Aprendizajes Prioritarios (NAP) Primer Ciclo, Educación Primaria (Págs 38-44). NAP Segundo Ciclo, Educación Primaria (Págs 58-64). Año 2021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7"/>
        </w:numPr>
        <w:spacing w:after="0" w:line="366.064453125" w:lineRule="auto"/>
        <w:ind w:left="720" w:right="51.391601562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Scharagrodsky, Pablo y Southwell, Myriam.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“El cuerpo en la escuela.”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UNLP, 2007. </w:t>
      </w:r>
    </w:p>
    <w:p w:rsidR="00000000" w:rsidDel="00000000" w:rsidP="00000000" w:rsidRDefault="00000000" w:rsidRPr="00000000" w14:paraId="0000004E">
      <w:pPr>
        <w:widowControl w:val="0"/>
        <w:spacing w:after="0" w:line="366.064453125" w:lineRule="auto"/>
        <w:ind w:left="0" w:right="53.20312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23"/>
        </w:numPr>
        <w:spacing w:after="0" w:line="366.064453125" w:lineRule="auto"/>
        <w:ind w:left="720" w:right="53.203125" w:hanging="360"/>
        <w:jc w:val="both"/>
        <w:rPr>
          <w:rFonts w:ascii="Arial" w:cs="Arial" w:eastAsia="Arial" w:hAnsi="Arial"/>
          <w:b w:val="1"/>
          <w:i w:val="1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a64d79"/>
          <w:sz w:val="24"/>
          <w:szCs w:val="24"/>
          <w:rtl w:val="0"/>
        </w:rPr>
        <w:t xml:space="preserve">Bibliografía Sugerida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15"/>
        </w:numPr>
        <w:spacing w:after="0" w:line="366.064453125" w:lineRule="auto"/>
        <w:ind w:left="720" w:right="51.391601562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Grasso, Alicia y otros. La Educación Física cambia. Novedades Educativas. Buenos Aires. Año 2009.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13"/>
        </w:numPr>
        <w:spacing w:after="0" w:line="366.064453125" w:lineRule="auto"/>
        <w:ind w:left="720" w:right="51.3916015625" w:hanging="360"/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a64d79"/>
          <w:sz w:val="24"/>
          <w:szCs w:val="24"/>
          <w:rtl w:val="0"/>
        </w:rPr>
        <w:t xml:space="preserve">Webgrafía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5"/>
        </w:numPr>
        <w:spacing w:after="0" w:line="229.88847255706787" w:lineRule="auto"/>
        <w:ind w:left="720" w:right="170.62377929687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Arial" w:cs="Arial" w:eastAsia="Arial" w:hAnsi="Arial"/>
            <w:color w:val="0000ee"/>
            <w:sz w:val="24"/>
            <w:szCs w:val="24"/>
            <w:u w:val="single"/>
            <w:rtl w:val="0"/>
          </w:rPr>
          <w:t xml:space="preserve">El cuerpo en la escuela - Resumen audiovisual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Video Resumen del texto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“El cuerpo en la escuela”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0" w:before="13.85986328125" w:line="244.04296875" w:lineRule="auto"/>
        <w:ind w:left="126.0003662109375" w:right="86.376953125" w:firstLine="17.9998779296875"/>
        <w:jc w:val="both"/>
        <w:rPr>
          <w:rFonts w:ascii="Arial" w:cs="Arial" w:eastAsia="Arial" w:hAnsi="Arial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0" w:before="0.99365234375" w:line="344.8327159881592" w:lineRule="auto"/>
        <w:ind w:left="134.16015625" w:right="162.7685546875" w:firstLine="7.6800537109375"/>
        <w:jc w:val="both"/>
        <w:rPr>
          <w:rFonts w:ascii="Arial" w:cs="Arial" w:eastAsia="Arial" w:hAnsi="Arial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before="0.99365234375" w:line="344.8327159881592" w:lineRule="auto"/>
        <w:ind w:left="134.16015625" w:right="162.7685546875" w:firstLine="7.6800537109375"/>
        <w:jc w:val="both"/>
        <w:rPr>
          <w:rFonts w:ascii="Arial" w:cs="Arial" w:eastAsia="Arial" w:hAnsi="Arial"/>
          <w:b w:val="1"/>
          <w:color w:val="741b47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741b47"/>
          <w:sz w:val="24"/>
          <w:szCs w:val="24"/>
          <w:rtl w:val="0"/>
        </w:rPr>
        <w:t xml:space="preserve">Unidad N° 2 “La Educación Física en el Diseño Curricular”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i w:val="1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a64d79"/>
          <w:sz w:val="24"/>
          <w:szCs w:val="24"/>
          <w:rtl w:val="0"/>
        </w:rPr>
        <w:t xml:space="preserve">Bibliografía Obligatoria</w:t>
      </w:r>
    </w:p>
    <w:p w:rsidR="00000000" w:rsidDel="00000000" w:rsidP="00000000" w:rsidRDefault="00000000" w:rsidRPr="00000000" w14:paraId="00000057">
      <w:pPr>
        <w:numPr>
          <w:ilvl w:val="0"/>
          <w:numId w:val="24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DGCYE. Diseño de Educación Primaria. Educación Física. Primer y segundo ciclo. La Plata,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4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Ministerio de Educación de la Nación. Núcleos de Aprendizajes Prioritarios (NAP) Primer Ciclo, Educación Primaria (Págs 38-44). NAP Segundo Ciclo, Educación Primaria (Págs 58-64). Año 2021 DGCYE.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4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 de Educación Física. (2008) Documento Técnico: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“La comprensión en las clases de Educación Física”.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4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DGCyE, DEF. Documento Técnico,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La planificación, una hipótesis para la enseñanza de la Educación Física. La Plata, 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4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Grasso, Alicia.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“Construyendo Identidad Corporal. Construyendo el concepto de corporeidad”.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Novedades Educativas. 2005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23"/>
        </w:numPr>
        <w:spacing w:after="0" w:line="366.064453125" w:lineRule="auto"/>
        <w:ind w:left="720" w:right="53.203125" w:hanging="360"/>
        <w:jc w:val="both"/>
        <w:rPr>
          <w:rFonts w:ascii="Arial" w:cs="Arial" w:eastAsia="Arial" w:hAnsi="Arial"/>
          <w:b w:val="1"/>
          <w:i w:val="1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a64d79"/>
          <w:sz w:val="24"/>
          <w:szCs w:val="24"/>
          <w:rtl w:val="0"/>
        </w:rPr>
        <w:t xml:space="preserve">Bibliografía Sugerida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14"/>
        </w:numPr>
        <w:spacing w:after="0" w:before="0" w:line="263.35896492004395" w:lineRule="auto"/>
        <w:ind w:left="720" w:right="76.977539062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“Cómo enseñar a leer y a escribir”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Ensayo por Pablo Pineau, Daniel Friedrich en Revista Anfibia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https://www.revistaanfibia.com/como-ensenar-a-leer-y-escribir/</w:t>
        </w:r>
      </w:hyperlink>
      <w:r w:rsidDel="00000000" w:rsidR="00000000" w:rsidRPr="00000000">
        <w:rPr>
          <w:rFonts w:ascii="Arial" w:cs="Arial" w:eastAsia="Arial" w:hAnsi="Arial"/>
          <w:color w:val="1155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13"/>
        </w:numPr>
        <w:spacing w:after="0" w:line="366.064453125" w:lineRule="auto"/>
        <w:ind w:left="720" w:right="51.3916015625" w:hanging="360"/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a64d79"/>
          <w:sz w:val="24"/>
          <w:szCs w:val="24"/>
          <w:rtl w:val="0"/>
        </w:rPr>
        <w:t xml:space="preserve">Webgrafía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28"/>
        </w:numPr>
        <w:spacing w:after="0" w:line="366.064453125" w:lineRule="auto"/>
        <w:ind w:left="720" w:right="51.391601562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Juguemos en la escuela”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Herramienta para actividades en Educ.ar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https://www.educ.ar/recursos/92242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1"/>
        </w:numPr>
        <w:spacing w:after="0" w:before="0" w:line="263.3630561828613" w:lineRule="auto"/>
        <w:ind w:left="720" w:right="52.21679687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Propuestas para abordar los NAP material producido por el Ministerio de Educación de la Nación.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https://www.educ.ar/recursos/132575/nap-educacion-primaria-primer-ciclo</w:t>
        </w:r>
      </w:hyperlink>
      <w:r w:rsidDel="00000000" w:rsidR="00000000" w:rsidRPr="00000000">
        <w:rPr>
          <w:rFonts w:ascii="Arial" w:cs="Arial" w:eastAsia="Arial" w:hAnsi="Arial"/>
          <w:color w:val="1155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after="0" w:before="2.406005859375" w:line="263.3630561828613" w:lineRule="auto"/>
        <w:ind w:left="720" w:right="52.216796875" w:firstLine="0"/>
        <w:jc w:val="both"/>
        <w:rPr>
          <w:rFonts w:ascii="Arial" w:cs="Arial" w:eastAsia="Arial" w:hAnsi="Arial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0" w:before="2.406005859375" w:line="263.3630561828613" w:lineRule="auto"/>
        <w:ind w:left="0" w:right="52.216796875" w:firstLine="0"/>
        <w:jc w:val="both"/>
        <w:rPr>
          <w:rFonts w:ascii="Arial" w:cs="Arial" w:eastAsia="Arial" w:hAnsi="Arial"/>
          <w:b w:val="1"/>
          <w:color w:val="741b47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741b47"/>
          <w:sz w:val="24"/>
          <w:szCs w:val="24"/>
          <w:rtl w:val="0"/>
        </w:rPr>
        <w:t xml:space="preserve"> Unidad N° 3 “Hacia una mirada transversal de la Educación Física”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i w:val="1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a64d79"/>
          <w:sz w:val="24"/>
          <w:szCs w:val="24"/>
          <w:rtl w:val="0"/>
        </w:rPr>
        <w:t xml:space="preserve">Bibliografía Obligatoria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6"/>
        </w:numPr>
        <w:spacing w:after="0" w:line="263.3609962463379" w:lineRule="auto"/>
        <w:ind w:left="720" w:right="227.211914062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DGCYE. Diseño de Educación Primaria. Educación Física. Primer y segundo ciclo. La Plata, 2018.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6"/>
        </w:numPr>
        <w:spacing w:after="0" w:line="263.3609962463379" w:lineRule="auto"/>
        <w:ind w:left="720" w:right="227.211914062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“La ESI a la cancha: los espacios deportivos desde la perspectiva de la Educación Sexual Integral”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-Ciudad Autónoma de Buenos Aires: Ministerio de Educación de la Nación, 2021. Libro digital, PDF/A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https://www.argentina.gob.ar/turismoydeportes/secretaria-de-deportes/esi-la-cancha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0" w:before="12.725830078125" w:line="263.3630561828613" w:lineRule="auto"/>
        <w:ind w:left="135.0799560546875" w:right="63.885498046875" w:firstLine="66.0177612304687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13"/>
        </w:numPr>
        <w:spacing w:after="0" w:line="366.064453125" w:lineRule="auto"/>
        <w:ind w:left="720" w:right="51.3916015625" w:hanging="360"/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a64d79"/>
          <w:sz w:val="24"/>
          <w:szCs w:val="24"/>
          <w:rtl w:val="0"/>
        </w:rPr>
        <w:t xml:space="preserve">Webgrafía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3"/>
        </w:numPr>
        <w:spacing w:after="0" w:line="263.3630561828613" w:lineRule="auto"/>
        <w:ind w:left="720" w:right="91.3842773437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Pibxs Capítulo 6- CUERPO disponible en Youtube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https://www.youtube.com/watch?v=l6M2yqv9Nvc&amp;ab_channel=Pibxs202X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3"/>
        </w:numPr>
        <w:spacing w:after="0" w:before="0" w:line="263.3638572692871" w:lineRule="auto"/>
        <w:ind w:left="720" w:right="76.840820312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Pibxs Capítulo 9- ESCUELAS disponible en Youtube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https://www.youtube.com/watch?v=TJlGzfGMCzs&amp;t=61s&amp;ab_channel=Pibxs202X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3"/>
        </w:numPr>
        <w:spacing w:after="0" w:before="0" w:line="263.3638572692871" w:lineRule="auto"/>
        <w:ind w:left="720" w:right="76.840820312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ESI Y Derechos en la escuela disponible en Youtube </w:t>
      </w:r>
      <w:hyperlink r:id="rId1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ESI: Educación Sexual Integral. Los derechos en la escuela - Canal Encuentro - YouTube</w:t>
        </w:r>
      </w:hyperlink>
      <w:r w:rsidDel="00000000" w:rsidR="00000000" w:rsidRPr="00000000">
        <w:rPr>
          <w:rFonts w:ascii="Arial" w:cs="Arial" w:eastAsia="Arial" w:hAnsi="Arial"/>
          <w:color w:val="1155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numPr>
          <w:ilvl w:val="0"/>
          <w:numId w:val="3"/>
        </w:numPr>
        <w:spacing w:after="0" w:before="0" w:line="263.3638572692871" w:lineRule="auto"/>
        <w:ind w:left="720" w:right="76.840820312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hyperlink r:id="rId1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ED FISICA DDHH - M3 P3</w:t>
        </w:r>
      </w:hyperlink>
      <w:r w:rsidDel="00000000" w:rsidR="00000000" w:rsidRPr="00000000">
        <w:rPr>
          <w:rFonts w:ascii="Arial" w:cs="Arial" w:eastAsia="Arial" w:hAnsi="Arial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Muro Interactivo en Genially sobre ESI para la Educación Primaria Contenidos y Propuestas para el Aula.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3"/>
        </w:numPr>
        <w:spacing w:after="0" w:before="0" w:line="263.3638572692871" w:lineRule="auto"/>
        <w:ind w:left="720" w:right="76.840820312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hyperlink r:id="rId1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M3 - Buenas Prácticas</w:t>
        </w:r>
      </w:hyperlink>
      <w:r w:rsidDel="00000000" w:rsidR="00000000" w:rsidRPr="00000000">
        <w:rPr>
          <w:rFonts w:ascii="Arial" w:cs="Arial" w:eastAsia="Arial" w:hAnsi="Arial"/>
          <w:color w:val="1155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Muro Interactivo en Genially sobre Deporte en la Educación Física Escolar un abordaje con Perspectiva de género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0" w:before="472.7618408203125" w:line="240" w:lineRule="auto"/>
        <w:ind w:left="0" w:firstLine="0"/>
        <w:jc w:val="both"/>
        <w:rPr>
          <w:rFonts w:ascii="Arial" w:cs="Arial" w:eastAsia="Arial" w:hAnsi="Arial"/>
          <w:b w:val="1"/>
          <w:color w:val="741b47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741b47"/>
          <w:sz w:val="24"/>
          <w:szCs w:val="24"/>
          <w:rtl w:val="0"/>
        </w:rPr>
        <w:t xml:space="preserve">Unidad N° 4 “La construcción de propuestas didácticas”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i w:val="1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a64d79"/>
          <w:sz w:val="24"/>
          <w:szCs w:val="24"/>
          <w:rtl w:val="0"/>
        </w:rPr>
        <w:t xml:space="preserve">Bibliografía Obligatoria</w:t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22"/>
        </w:numPr>
        <w:spacing w:after="0" w:line="365.5763626098633" w:lineRule="auto"/>
        <w:ind w:left="720" w:right="55.7812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DGCYE.Diseño de Educación Primaria. Educación Física. Primer y segundo ciclo. La Plata, 2018.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22"/>
        </w:numPr>
        <w:spacing w:after="0" w:line="365.5763626098633" w:lineRule="auto"/>
        <w:ind w:left="720" w:right="55.7812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DGCyE, DEF. Documento Técnico,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“La planificación, una hipótesis para la enseñanza de la Educación Física”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La Plata, 2008. - Terry Orlick. El mágico reino del juego. Cap.1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22"/>
        </w:numPr>
        <w:spacing w:after="0" w:line="365.5763626098633" w:lineRule="auto"/>
        <w:ind w:left="720" w:right="55.7812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Freire, Paulo.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“Pedagogía de los sueños posibles, por qué docentes y alumnos necesitan reinventarse en cada momento de la historia”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Segunda Edición. Siglo XXI Editores. (Págs 43-47/ 54-57/65-67/83-88). Año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22"/>
        </w:numPr>
        <w:spacing w:after="0" w:line="365.5763626098633" w:lineRule="auto"/>
        <w:ind w:left="720" w:right="55.7812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DGCYE: Documento Comisión Curricular: Prof. Corrales, Maderna, Renzi, Saullo.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“Evaluación en Educación Física”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after="0" w:line="365.5763626098633" w:lineRule="auto"/>
        <w:ind w:left="720" w:right="55.78125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13"/>
        </w:numPr>
        <w:spacing w:after="0" w:line="366.064453125" w:lineRule="auto"/>
        <w:ind w:left="720" w:right="51.3916015625" w:hanging="360"/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a64d79"/>
          <w:sz w:val="24"/>
          <w:szCs w:val="24"/>
          <w:rtl w:val="0"/>
        </w:rPr>
        <w:t xml:space="preserve">Webgrafía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25"/>
        </w:numPr>
        <w:spacing w:after="0" w:line="366.064453125" w:lineRule="auto"/>
        <w:ind w:left="720" w:right="51.391601562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https://www.memoria.fahce.unlp.edu.ar/art_revistas/pr.14080/pr.14080.pdf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Juntos pero no revueltos la EF mixta en clave de género. Artículo de Pablo A. Scharagrodsky de libre acceso.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25"/>
        </w:numPr>
        <w:spacing w:after="0" w:line="366.064453125" w:lineRule="auto"/>
        <w:ind w:left="720" w:right="51.391601562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hyperlink r:id="rId19">
        <w:r w:rsidDel="00000000" w:rsidR="00000000" w:rsidRPr="00000000">
          <w:rPr>
            <w:rFonts w:ascii="Arial" w:cs="Arial" w:eastAsia="Arial" w:hAnsi="Arial"/>
            <w:color w:val="0000ee"/>
            <w:sz w:val="24"/>
            <w:szCs w:val="24"/>
            <w:u w:val="single"/>
            <w:rtl w:val="0"/>
          </w:rPr>
          <w:t xml:space="preserve">Paulo Freire: Constructor de sueños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Video conferencia y entrevistas a Paulo Freire disponible en Youtube.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spacing w:after="0" w:lineRule="auto"/>
        <w:ind w:left="720" w:hanging="360"/>
        <w:jc w:val="both"/>
        <w:rPr>
          <w:rFonts w:ascii="Arial" w:cs="Arial" w:eastAsia="Arial" w:hAnsi="Arial"/>
          <w:b w:val="1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a64d79"/>
          <w:sz w:val="24"/>
          <w:szCs w:val="24"/>
          <w:rtl w:val="0"/>
        </w:rPr>
        <w:t xml:space="preserve">ESTRATEGIAS METODOLÓGICAS:</w:t>
      </w:r>
    </w:p>
    <w:p w:rsidR="00000000" w:rsidDel="00000000" w:rsidP="00000000" w:rsidRDefault="00000000" w:rsidRPr="00000000" w14:paraId="0000007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6"/>
        </w:numPr>
        <w:spacing w:after="0" w:line="360" w:lineRule="auto"/>
        <w:ind w:left="144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Análisis, reflexión y expresión de contenidos en forma individual y grupal.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6"/>
        </w:numPr>
        <w:spacing w:after="0" w:line="360" w:lineRule="auto"/>
        <w:ind w:left="144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Taller para construcción de planes, juegos, proyectos, actividades y tareas entre otros como propuesta didáctica.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6"/>
        </w:numPr>
        <w:spacing w:after="0" w:line="360" w:lineRule="auto"/>
        <w:ind w:left="144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Debates, reflexión y puesta en común de problemáticas.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6"/>
        </w:numPr>
        <w:spacing w:after="0" w:line="360" w:lineRule="auto"/>
        <w:ind w:left="144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Investigación de distintas prácticas en sus determinados contextos.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6"/>
        </w:numPr>
        <w:spacing w:after="0" w:line="360" w:lineRule="auto"/>
        <w:ind w:left="144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Debates, reflexión y puesta en común de problemáticas.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6"/>
        </w:numPr>
        <w:spacing w:after="0" w:line="360" w:lineRule="auto"/>
        <w:ind w:left="144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Investigación de distintas prácticas en sus determinados contextos.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6"/>
        </w:numPr>
        <w:spacing w:after="0" w:line="36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Uso del campus y aulas virtuales, foros, páginas, aplicaciones y demás herramientas digitales para la resolución de propuestas. </w:t>
      </w:r>
    </w:p>
    <w:p w:rsidR="00000000" w:rsidDel="00000000" w:rsidP="00000000" w:rsidRDefault="00000000" w:rsidRPr="00000000" w14:paraId="00000081">
      <w:pPr>
        <w:spacing w:after="0" w:lineRule="auto"/>
        <w:ind w:left="72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9"/>
        </w:numPr>
        <w:ind w:left="720" w:hanging="360"/>
        <w:jc w:val="both"/>
        <w:rPr>
          <w:rFonts w:ascii="Arial" w:cs="Arial" w:eastAsia="Arial" w:hAnsi="Arial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a64d79"/>
          <w:sz w:val="24"/>
          <w:szCs w:val="24"/>
          <w:rtl w:val="0"/>
        </w:rPr>
        <w:t xml:space="preserve">EVALUACIÓN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1"/>
        </w:numPr>
        <w:spacing w:after="0" w:lineRule="auto"/>
        <w:ind w:left="1428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a64d79"/>
          <w:sz w:val="24"/>
          <w:szCs w:val="24"/>
          <w:rtl w:val="0"/>
        </w:rPr>
        <w:t xml:space="preserve">Criterios e Instrumentos de evaluación para la acreditación con Promoción directa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360" w:lineRule="auto"/>
        <w:jc w:val="both"/>
        <w:rPr>
          <w:rFonts w:ascii="Arial" w:cs="Arial" w:eastAsia="Arial" w:hAnsi="Arial"/>
          <w:color w:val="741b47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741b47"/>
          <w:sz w:val="24"/>
          <w:szCs w:val="24"/>
          <w:rtl w:val="0"/>
        </w:rPr>
        <w:t xml:space="preserve">Pautas de aprobación de la materia, se inscriben en la normativa vigente (Resolución 4043/09)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Régimen de cursada : Combinada </w:t>
      </w:r>
    </w:p>
    <w:p w:rsidR="00000000" w:rsidDel="00000000" w:rsidP="00000000" w:rsidRDefault="00000000" w:rsidRPr="00000000" w14:paraId="00000087">
      <w:pPr>
        <w:widowControl w:val="0"/>
        <w:spacing w:after="0" w:before="12.718505859375" w:line="263.3630561828613" w:lineRule="auto"/>
        <w:ind w:left="0" w:right="1297.16186523437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Asistencia mínima al 60% de las clases en la modalidad combinada. </w:t>
      </w:r>
    </w:p>
    <w:p w:rsidR="00000000" w:rsidDel="00000000" w:rsidP="00000000" w:rsidRDefault="00000000" w:rsidRPr="00000000" w14:paraId="00000088">
      <w:pPr>
        <w:widowControl w:val="0"/>
        <w:spacing w:after="0" w:before="12.718505859375" w:line="263.3630561828613" w:lineRule="auto"/>
        <w:ind w:left="0" w:right="1297.16186523437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Aprobación de las instancias de evaluación previstas con nota mínima de 4 (cuatro) puntos</w:t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19"/>
        </w:numPr>
        <w:spacing w:after="0" w:before="12.718505859375" w:line="263.3630561828613" w:lineRule="auto"/>
        <w:ind w:left="720" w:right="1297.16186523437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materia es promocional, lo cual implica que se debe aprobar con 7 o más en cada cuatrimestre. Quienes hayan obtenido una calificación entre 4 y 6,99 deberán rendir final.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numPr>
          <w:ilvl w:val="0"/>
          <w:numId w:val="18"/>
        </w:numPr>
        <w:spacing w:after="0" w:before="0" w:line="263.3630561828613" w:lineRule="auto"/>
        <w:ind w:left="720" w:right="1297.16186523437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actividades y trabajos grupales se podrán recuperar en la semana destinada a RECUPERATORIOS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18"/>
        </w:numPr>
        <w:spacing w:after="0" w:before="0" w:line="263.3630561828613" w:lineRule="auto"/>
        <w:ind w:left="720" w:right="1297.16186523437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Cada instancia de evaluación implica un intercambio y una devolución destacando los logros y los aspectos a mejorar.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26"/>
        </w:numPr>
        <w:spacing w:after="0" w:before="0" w:line="240" w:lineRule="auto"/>
        <w:ind w:left="720" w:hanging="360"/>
        <w:jc w:val="both"/>
        <w:rPr>
          <w:rFonts w:ascii="Arial" w:cs="Arial" w:eastAsia="Arial" w:hAnsi="Arial"/>
          <w:b w:val="1"/>
          <w:i w:val="1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a64d79"/>
          <w:sz w:val="24"/>
          <w:szCs w:val="24"/>
          <w:rtl w:val="0"/>
        </w:rPr>
        <w:t xml:space="preserve">Criterios de evaluación </w:t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20"/>
        </w:numPr>
        <w:spacing w:after="0" w:before="0" w:line="263.3711814880371" w:lineRule="auto"/>
        <w:ind w:left="720" w:right="1951.161499023437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Desempeño individual y grupal frente a las diferentes propuestas.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20"/>
        </w:numPr>
        <w:spacing w:after="0" w:before="0" w:line="263.3711814880371" w:lineRule="auto"/>
        <w:ind w:left="720" w:right="1951.161499023437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Compromiso, participación e intervención en la clase.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numPr>
          <w:ilvl w:val="0"/>
          <w:numId w:val="20"/>
        </w:numPr>
        <w:spacing w:after="0" w:before="0" w:line="263.3711814880371" w:lineRule="auto"/>
        <w:ind w:left="720" w:right="1951.161499023437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Pertinencia y creatividad en los juegos y de propuestas pedagógicas.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numPr>
          <w:ilvl w:val="0"/>
          <w:numId w:val="20"/>
        </w:numPr>
        <w:spacing w:after="0" w:before="0" w:line="263.3711814880371" w:lineRule="auto"/>
        <w:ind w:left="720" w:right="1951.161499023437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Participación en las propuestas de trabajo. Diseño de propuestas pedagógicas: unidades, secuencias, proyectos.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20"/>
        </w:numPr>
        <w:spacing w:after="0" w:before="0" w:line="263.3711814880371" w:lineRule="auto"/>
        <w:ind w:left="720" w:right="1951.161499023437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Actitudes relacionales en las actividades.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numPr>
          <w:ilvl w:val="0"/>
          <w:numId w:val="20"/>
        </w:numPr>
        <w:spacing w:after="0" w:before="0" w:line="263.3711814880371" w:lineRule="auto"/>
        <w:ind w:left="720" w:right="1951.161499023437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Conducción de juegos a sus pares.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20"/>
        </w:numPr>
        <w:spacing w:after="0" w:before="0" w:line="263.3711814880371" w:lineRule="auto"/>
        <w:ind w:left="720" w:right="1951.161499023437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Participación en trabajos de investigación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20"/>
        </w:numPr>
        <w:spacing w:after="0" w:before="0" w:line="263.3711814880371" w:lineRule="auto"/>
        <w:ind w:left="720" w:right="1951.161499023437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Claridad conceptual y uso de la bibliografía adecuada para las producciones escritas.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Arial" w:cs="Arial" w:eastAsia="Arial" w:hAnsi="Arial"/>
          <w:b w:val="1"/>
          <w:color w:val="a64d79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a64d79"/>
          <w:sz w:val="24"/>
          <w:szCs w:val="24"/>
          <w:rtl w:val="0"/>
        </w:rPr>
        <w:t xml:space="preserve">Instrumentos de evaluación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1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741b47"/>
          <w:sz w:val="24"/>
          <w:szCs w:val="24"/>
          <w:rtl w:val="0"/>
        </w:rPr>
        <w:t xml:space="preserve">Actividad 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Construcción individual de una bitácora escolar relacionada a las clases de educación física que hayan tenido en su transcurso por la escuela primaria hasta la actualidad. (Primer cuatrimestre)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numPr>
          <w:ilvl w:val="0"/>
          <w:numId w:val="1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741b47"/>
          <w:sz w:val="24"/>
          <w:szCs w:val="24"/>
          <w:rtl w:val="0"/>
        </w:rPr>
        <w:t xml:space="preserve">Actividad 2: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Presentación del primer Trabajo Grupal deberán realizar un escrito (mapa conceptual, cuadro sinóptico) y luego una presentación donde expliquen la organización del apartado de Educación Física dentro del Diseño Curricular Jurisdiccional (Primer cuatrimestre)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numPr>
          <w:ilvl w:val="0"/>
          <w:numId w:val="1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741b47"/>
          <w:sz w:val="24"/>
          <w:szCs w:val="24"/>
          <w:rtl w:val="0"/>
        </w:rPr>
        <w:t xml:space="preserve">Actividad 3: Primer Parcial (Primer cuatrimestre)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1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741b47"/>
          <w:sz w:val="24"/>
          <w:szCs w:val="24"/>
          <w:rtl w:val="0"/>
        </w:rPr>
        <w:t xml:space="preserve">Actividad 4: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Investigación de las prácticas lúdicas que se realizan dentro de la comunidad. (Segundo cuatrimestre)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1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741b47"/>
          <w:sz w:val="24"/>
          <w:szCs w:val="24"/>
          <w:rtl w:val="0"/>
        </w:rPr>
        <w:t xml:space="preserve">Actividad 5: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Planificación de una propuesta ludomotriz. (Segundo cuatrimestre)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1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741b47"/>
          <w:sz w:val="24"/>
          <w:szCs w:val="24"/>
          <w:rtl w:val="0"/>
        </w:rPr>
        <w:t xml:space="preserve">Actividad 6: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Construcción grupal (no más de 4) para una propuesta interdisciplinaria (Segundo cuatrimestre)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1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  <w:color w:val="741b47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741b47"/>
          <w:sz w:val="24"/>
          <w:szCs w:val="24"/>
          <w:rtl w:val="0"/>
        </w:rPr>
        <w:t xml:space="preserve">Actividad 7: Segundo Parcial (Segundo cuatrimestre)</w:t>
      </w:r>
    </w:p>
    <w:p w:rsidR="00000000" w:rsidDel="00000000" w:rsidP="00000000" w:rsidRDefault="00000000" w:rsidRPr="00000000" w14:paraId="0000009D">
      <w:pPr>
        <w:widowControl w:val="0"/>
        <w:spacing w:after="0" w:before="36.07177734375" w:line="263.3711814880371" w:lineRule="auto"/>
        <w:ind w:left="0" w:right="1951.161499023437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after="0" w:before="12.718505859375" w:line="263.3630561828613" w:lineRule="auto"/>
        <w:ind w:left="0" w:right="1297.16186523437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11"/>
        </w:numPr>
        <w:spacing w:after="0" w:lineRule="auto"/>
        <w:ind w:left="1428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a64d79"/>
          <w:sz w:val="24"/>
          <w:szCs w:val="24"/>
          <w:rtl w:val="0"/>
        </w:rPr>
        <w:t xml:space="preserve">Criterios e Instrumentos de evaluación para la acreditación ante Tribunal de examen final.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after="0" w:before="36.0821533203125" w:line="263.3630561828613" w:lineRule="auto"/>
        <w:ind w:left="0" w:right="2345.053710937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numPr>
          <w:ilvl w:val="0"/>
          <w:numId w:val="7"/>
        </w:numPr>
        <w:spacing w:after="0" w:before="12.736968994140625" w:line="240" w:lineRule="auto"/>
        <w:ind w:left="720" w:hanging="360"/>
        <w:jc w:val="both"/>
        <w:rPr>
          <w:rFonts w:ascii="Arial" w:cs="Arial" w:eastAsia="Arial" w:hAnsi="Arial"/>
          <w:b w:val="1"/>
          <w:color w:val="a64d7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a64d79"/>
          <w:sz w:val="24"/>
          <w:szCs w:val="24"/>
          <w:rtl w:val="0"/>
        </w:rPr>
        <w:t xml:space="preserve">Condiciones para la acreditación</w:t>
      </w:r>
    </w:p>
    <w:p w:rsidR="00000000" w:rsidDel="00000000" w:rsidP="00000000" w:rsidRDefault="00000000" w:rsidRPr="00000000" w14:paraId="000000A2">
      <w:pPr>
        <w:widowControl w:val="0"/>
        <w:numPr>
          <w:ilvl w:val="0"/>
          <w:numId w:val="27"/>
        </w:numPr>
        <w:spacing w:after="0" w:before="0" w:line="263.3630561828613" w:lineRule="auto"/>
        <w:ind w:left="720" w:right="1316.4306640625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Deberán aprobar con 4 o más la instancia de examen final.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numPr>
          <w:ilvl w:val="0"/>
          <w:numId w:val="29"/>
        </w:numPr>
        <w:spacing w:after="0" w:before="0" w:line="240" w:lineRule="auto"/>
        <w:ind w:left="720" w:hanging="360"/>
        <w:jc w:val="both"/>
        <w:rPr>
          <w:rFonts w:ascii="Arial" w:cs="Arial" w:eastAsia="Arial" w:hAnsi="Arial"/>
          <w:b w:val="1"/>
          <w:i w:val="1"/>
          <w:color w:val="a64d79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a64d79"/>
          <w:sz w:val="24"/>
          <w:szCs w:val="24"/>
          <w:rtl w:val="0"/>
        </w:rPr>
        <w:t xml:space="preserve">Criterios de evaluación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numPr>
          <w:ilvl w:val="0"/>
          <w:numId w:val="20"/>
        </w:numPr>
        <w:spacing w:after="0" w:before="0" w:line="263.3711814880371" w:lineRule="auto"/>
        <w:ind w:left="720" w:right="1951.161499023437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Desempeño individual y grupal frente a las diferentes propuestas.</w:t>
      </w:r>
    </w:p>
    <w:p w:rsidR="00000000" w:rsidDel="00000000" w:rsidP="00000000" w:rsidRDefault="00000000" w:rsidRPr="00000000" w14:paraId="000000A5">
      <w:pPr>
        <w:widowControl w:val="0"/>
        <w:numPr>
          <w:ilvl w:val="0"/>
          <w:numId w:val="20"/>
        </w:numPr>
        <w:spacing w:after="0" w:before="0" w:line="263.3711814880371" w:lineRule="auto"/>
        <w:ind w:left="720" w:right="1951.161499023437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Compromiso, participación e intervención en la clase. </w:t>
      </w:r>
    </w:p>
    <w:p w:rsidR="00000000" w:rsidDel="00000000" w:rsidP="00000000" w:rsidRDefault="00000000" w:rsidRPr="00000000" w14:paraId="000000A6">
      <w:pPr>
        <w:widowControl w:val="0"/>
        <w:numPr>
          <w:ilvl w:val="0"/>
          <w:numId w:val="20"/>
        </w:numPr>
        <w:spacing w:after="0" w:before="0" w:line="263.3711814880371" w:lineRule="auto"/>
        <w:ind w:left="720" w:right="1951.161499023437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Pertinencia y creatividad en los juegos y de propuestas pedagógicas. </w:t>
      </w:r>
    </w:p>
    <w:p w:rsidR="00000000" w:rsidDel="00000000" w:rsidP="00000000" w:rsidRDefault="00000000" w:rsidRPr="00000000" w14:paraId="000000A7">
      <w:pPr>
        <w:widowControl w:val="0"/>
        <w:numPr>
          <w:ilvl w:val="0"/>
          <w:numId w:val="20"/>
        </w:numPr>
        <w:spacing w:after="0" w:before="0" w:line="263.3711814880371" w:lineRule="auto"/>
        <w:ind w:left="720" w:right="1951.161499023437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Participación en las propuestas de trabajo. Diseño de propuestas pedagógicas: unidades, secuencias, proyectos. </w:t>
      </w:r>
    </w:p>
    <w:p w:rsidR="00000000" w:rsidDel="00000000" w:rsidP="00000000" w:rsidRDefault="00000000" w:rsidRPr="00000000" w14:paraId="000000A8">
      <w:pPr>
        <w:widowControl w:val="0"/>
        <w:numPr>
          <w:ilvl w:val="0"/>
          <w:numId w:val="20"/>
        </w:numPr>
        <w:spacing w:after="0" w:before="0" w:line="263.3711814880371" w:lineRule="auto"/>
        <w:ind w:left="720" w:right="1951.161499023437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Actitudes relacionales en las actividades. </w:t>
      </w:r>
    </w:p>
    <w:p w:rsidR="00000000" w:rsidDel="00000000" w:rsidP="00000000" w:rsidRDefault="00000000" w:rsidRPr="00000000" w14:paraId="000000A9">
      <w:pPr>
        <w:widowControl w:val="0"/>
        <w:numPr>
          <w:ilvl w:val="0"/>
          <w:numId w:val="20"/>
        </w:numPr>
        <w:spacing w:after="0" w:before="0" w:line="263.3711814880371" w:lineRule="auto"/>
        <w:ind w:left="720" w:right="1951.161499023437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Conducción de juegos a sus pares. </w:t>
      </w:r>
    </w:p>
    <w:p w:rsidR="00000000" w:rsidDel="00000000" w:rsidP="00000000" w:rsidRDefault="00000000" w:rsidRPr="00000000" w14:paraId="000000AA">
      <w:pPr>
        <w:widowControl w:val="0"/>
        <w:numPr>
          <w:ilvl w:val="0"/>
          <w:numId w:val="20"/>
        </w:numPr>
        <w:spacing w:after="0" w:before="0" w:line="263.3711814880371" w:lineRule="auto"/>
        <w:ind w:left="720" w:right="1951.161499023437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Participación en trabajos de investigación </w:t>
      </w:r>
    </w:p>
    <w:p w:rsidR="00000000" w:rsidDel="00000000" w:rsidP="00000000" w:rsidRDefault="00000000" w:rsidRPr="00000000" w14:paraId="000000AB">
      <w:pPr>
        <w:widowControl w:val="0"/>
        <w:numPr>
          <w:ilvl w:val="0"/>
          <w:numId w:val="20"/>
        </w:numPr>
        <w:spacing w:after="0" w:before="0" w:line="263.3711814880371" w:lineRule="auto"/>
        <w:ind w:left="720" w:right="1951.161499023437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Claridad conceptual y uso de la bibliografía adecuada para las producciones escritas.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28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a64d79"/>
          <w:sz w:val="24"/>
          <w:szCs w:val="24"/>
          <w:u w:val="none"/>
          <w:shd w:fill="auto" w:val="clear"/>
          <w:vertAlign w:val="baseline"/>
          <w:rtl w:val="0"/>
        </w:rPr>
        <w:t xml:space="preserve">Orientaciones para estudiantes que </w:t>
      </w:r>
      <w:r w:rsidDel="00000000" w:rsidR="00000000" w:rsidRPr="00000000">
        <w:rPr>
          <w:rFonts w:ascii="Arial" w:cs="Arial" w:eastAsia="Arial" w:hAnsi="Arial"/>
          <w:color w:val="a64d79"/>
          <w:sz w:val="24"/>
          <w:szCs w:val="24"/>
          <w:rtl w:val="0"/>
        </w:rPr>
        <w:t xml:space="preserve">acrediten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a64d79"/>
          <w:sz w:val="24"/>
          <w:szCs w:val="24"/>
          <w:u w:val="none"/>
          <w:shd w:fill="auto" w:val="clear"/>
          <w:vertAlign w:val="baseline"/>
          <w:rtl w:val="0"/>
        </w:rPr>
        <w:t xml:space="preserve"> en condición de Libres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caso de elegir esta modalidad, el/la estudiante deberá realizar las actividades 2, 5 y 6 que consisten en la producción de trabajos explicados en el ítem anterior. Deberán tener en cuenta las publicaciones en el Aula Virtual y leer el programa y la bibliografía completa correspondiente.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la aprobación del exámen final tendrá que presentarse en la mesa examinadora con los trabajos realizados (Actividades 2, 5 y 6) para rendir la materia, en primera instancia de manera escrita y en el caso de aprobar pasará a la segunda y última instancia del examen de manera oral.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a64d79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64d79"/>
          <w:sz w:val="24"/>
          <w:szCs w:val="24"/>
          <w:u w:val="none"/>
          <w:shd w:fill="auto" w:val="clear"/>
          <w:vertAlign w:val="baseline"/>
          <w:rtl w:val="0"/>
        </w:rPr>
        <w:t xml:space="preserve">CALENDARIO DE LA PROPUESTA 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1340.0" w:type="dxa"/>
            <w:jc w:val="left"/>
            <w:tblInd w:w="-2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65"/>
            <w:gridCol w:w="1215"/>
            <w:gridCol w:w="1305"/>
            <w:gridCol w:w="1290"/>
            <w:gridCol w:w="1095"/>
            <w:gridCol w:w="1080"/>
            <w:gridCol w:w="1410"/>
            <w:gridCol w:w="1320"/>
            <w:gridCol w:w="1560"/>
            <w:tblGridChange w:id="0">
              <w:tblGrid>
                <w:gridCol w:w="1065"/>
                <w:gridCol w:w="1215"/>
                <w:gridCol w:w="1305"/>
                <w:gridCol w:w="1290"/>
                <w:gridCol w:w="1095"/>
                <w:gridCol w:w="1080"/>
                <w:gridCol w:w="1410"/>
                <w:gridCol w:w="1320"/>
                <w:gridCol w:w="15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  <w:rtl w:val="0"/>
                  </w:rPr>
                  <w:t xml:space="preserve">Marzo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  <w:rtl w:val="0"/>
                  </w:rPr>
                  <w:t xml:space="preserve">Abril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  <w:rtl w:val="0"/>
                  </w:rPr>
                  <w:t xml:space="preserve">Mayo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  <w:rtl w:val="0"/>
                  </w:rPr>
                  <w:t xml:space="preserve">Junio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  <w:rtl w:val="0"/>
                  </w:rPr>
                  <w:t xml:space="preserve">Julio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  <w:rtl w:val="0"/>
                  </w:rPr>
                  <w:t xml:space="preserve">Agosto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  <w:rtl w:val="0"/>
                  </w:rPr>
                  <w:t xml:space="preserve">Setiembre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  <w:rtl w:val="0"/>
                  </w:rPr>
                  <w:t xml:space="preserve">Octubre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  <w:rtl w:val="0"/>
                  </w:rPr>
                  <w:t xml:space="preserve">Noviembre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  <w:rtl w:val="0"/>
                  </w:rPr>
                  <w:t xml:space="preserve">Unidad N°1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  <w:rtl w:val="0"/>
                  </w:rPr>
                  <w:t xml:space="preserve">Unidad N°1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  <w:rtl w:val="0"/>
                  </w:rPr>
                  <w:t xml:space="preserve">Unidad N°1 y N°2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  <w:rtl w:val="0"/>
                  </w:rPr>
                  <w:t xml:space="preserve">Unidad N°1, N°2 y N°3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  <w:rtl w:val="0"/>
                  </w:rPr>
                  <w:t xml:space="preserve">Unidad N°3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  <w:rtl w:val="0"/>
                  </w:rPr>
                  <w:t xml:space="preserve">Unidad N°3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  <w:rtl w:val="0"/>
                  </w:rPr>
                  <w:t xml:space="preserve">Unidad N°4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  <w:rtl w:val="0"/>
                  </w:rPr>
                  <w:t xml:space="preserve">Unidad N°4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a64d79"/>
                    <w:sz w:val="24"/>
                    <w:szCs w:val="24"/>
                    <w:rtl w:val="0"/>
                  </w:rPr>
                  <w:t xml:space="preserve">Todas las Unidades </w:t>
                </w:r>
              </w:p>
            </w:tc>
          </w:tr>
        </w:tbl>
      </w:sdtContent>
    </w:sdt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1"/>
          <w:color w:val="a64d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1093806" cy="994369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6200" y="3279925"/>
                          <a:ext cx="1093806" cy="994369"/>
                          <a:chOff x="4796200" y="3279925"/>
                          <a:chExt cx="1099600" cy="1000150"/>
                        </a:xfrm>
                      </wpg:grpSpPr>
                      <wpg:grpSp>
                        <wpg:cNvGrpSpPr/>
                        <wpg:grpSpPr>
                          <a:xfrm>
                            <a:off x="4799097" y="3282816"/>
                            <a:ext cx="1093806" cy="994369"/>
                            <a:chOff x="1383725" y="532550"/>
                            <a:chExt cx="2783250" cy="25239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83725" y="532550"/>
                              <a:ext cx="2783250" cy="252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386613" y="980047"/>
                              <a:ext cx="616875" cy="812775"/>
                            </a:xfrm>
                            <a:custGeom>
                              <a:rect b="b" l="l" r="r" t="t"/>
                              <a:pathLst>
                                <a:path extrusionOk="0" h="32511" w="24675">
                                  <a:moveTo>
                                    <a:pt x="5071" y="474"/>
                                  </a:moveTo>
                                  <a:cubicBezTo>
                                    <a:pt x="-1812" y="5062"/>
                                    <a:pt x="-27" y="16865"/>
                                    <a:pt x="1390" y="25015"/>
                                  </a:cubicBezTo>
                                  <a:cubicBezTo>
                                    <a:pt x="2320" y="30363"/>
                                    <a:pt x="10965" y="33684"/>
                                    <a:pt x="16115" y="31968"/>
                                  </a:cubicBezTo>
                                  <a:cubicBezTo>
                                    <a:pt x="24431" y="29197"/>
                                    <a:pt x="26323" y="14747"/>
                                    <a:pt x="23068" y="6609"/>
                                  </a:cubicBezTo>
                                  <a:cubicBezTo>
                                    <a:pt x="20821" y="990"/>
                                    <a:pt x="9759" y="-2169"/>
                                    <a:pt x="5480" y="2110"/>
                                  </a:cubicBez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844389" y="1605425"/>
                              <a:ext cx="406150" cy="1447225"/>
                            </a:xfrm>
                            <a:custGeom>
                              <a:rect b="b" l="l" r="r" t="t"/>
                              <a:pathLst>
                                <a:path extrusionOk="0" h="57889" w="16246">
                                  <a:moveTo>
                                    <a:pt x="8029" y="0"/>
                                  </a:moveTo>
                                  <a:cubicBezTo>
                                    <a:pt x="12120" y="28019"/>
                                    <a:pt x="13592" y="27843"/>
                                    <a:pt x="16210" y="56037"/>
                                  </a:cubicBezTo>
                                  <a:cubicBezTo>
                                    <a:pt x="16354" y="57588"/>
                                    <a:pt x="14254" y="58530"/>
                                    <a:pt x="13347" y="57264"/>
                                  </a:cubicBezTo>
                                  <a:cubicBezTo>
                                    <a:pt x="5719" y="46625"/>
                                    <a:pt x="5802" y="46399"/>
                                    <a:pt x="667" y="34358"/>
                                  </a:cubicBezTo>
                                  <a:cubicBezTo>
                                    <a:pt x="-2090" y="27894"/>
                                    <a:pt x="4989" y="20983"/>
                                    <a:pt x="7211" y="14316"/>
                                  </a:cubicBez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178075" y="536263"/>
                              <a:ext cx="1196400" cy="2408700"/>
                            </a:xfrm>
                            <a:custGeom>
                              <a:rect b="b" l="l" r="r" t="t"/>
                              <a:pathLst>
                                <a:path extrusionOk="0" h="96348" w="47856">
                                  <a:moveTo>
                                    <a:pt x="0" y="46856"/>
                                  </a:moveTo>
                                  <a:cubicBezTo>
                                    <a:pt x="409" y="41130"/>
                                    <a:pt x="818" y="41145"/>
                                    <a:pt x="818" y="35404"/>
                                  </a:cubicBezTo>
                                  <a:cubicBezTo>
                                    <a:pt x="818" y="33319"/>
                                    <a:pt x="0" y="37409"/>
                                    <a:pt x="0" y="39494"/>
                                  </a:cubicBezTo>
                                  <a:cubicBezTo>
                                    <a:pt x="0" y="42869"/>
                                    <a:pt x="4975" y="48834"/>
                                    <a:pt x="7362" y="46447"/>
                                  </a:cubicBezTo>
                                  <a:cubicBezTo>
                                    <a:pt x="9579" y="44230"/>
                                    <a:pt x="10498" y="37040"/>
                                    <a:pt x="7362" y="37040"/>
                                  </a:cubicBezTo>
                                  <a:cubicBezTo>
                                    <a:pt x="4435" y="37040"/>
                                    <a:pt x="8612" y="44101"/>
                                    <a:pt x="11452" y="44811"/>
                                  </a:cubicBezTo>
                                  <a:cubicBezTo>
                                    <a:pt x="13589" y="45345"/>
                                    <a:pt x="15463" y="37119"/>
                                    <a:pt x="13906" y="38676"/>
                                  </a:cubicBezTo>
                                  <a:cubicBezTo>
                                    <a:pt x="11765" y="40817"/>
                                    <a:pt x="18300" y="44587"/>
                                    <a:pt x="21269" y="43993"/>
                                  </a:cubicBezTo>
                                  <a:cubicBezTo>
                                    <a:pt x="29024" y="42442"/>
                                    <a:pt x="28661" y="21570"/>
                                    <a:pt x="20860" y="20270"/>
                                  </a:cubicBezTo>
                                  <a:cubicBezTo>
                                    <a:pt x="12720" y="18913"/>
                                    <a:pt x="16303" y="42201"/>
                                    <a:pt x="24132" y="44811"/>
                                  </a:cubicBezTo>
                                  <a:cubicBezTo>
                                    <a:pt x="26860" y="45720"/>
                                    <a:pt x="30226" y="39842"/>
                                    <a:pt x="28631" y="37449"/>
                                  </a:cubicBezTo>
                                  <a:cubicBezTo>
                                    <a:pt x="27570" y="35857"/>
                                    <a:pt x="27687" y="41822"/>
                                    <a:pt x="29040" y="43175"/>
                                  </a:cubicBezTo>
                                  <a:cubicBezTo>
                                    <a:pt x="30009" y="44144"/>
                                    <a:pt x="32862" y="44928"/>
                                    <a:pt x="33131" y="43584"/>
                                  </a:cubicBezTo>
                                  <a:cubicBezTo>
                                    <a:pt x="33318" y="42648"/>
                                    <a:pt x="33131" y="39767"/>
                                    <a:pt x="33131" y="40721"/>
                                  </a:cubicBezTo>
                                  <a:cubicBezTo>
                                    <a:pt x="33131" y="42196"/>
                                    <a:pt x="34358" y="43584"/>
                                    <a:pt x="35585" y="44402"/>
                                  </a:cubicBezTo>
                                  <a:cubicBezTo>
                                    <a:pt x="36387" y="44937"/>
                                    <a:pt x="37766" y="45493"/>
                                    <a:pt x="38448" y="44811"/>
                                  </a:cubicBezTo>
                                  <a:cubicBezTo>
                                    <a:pt x="40588" y="42671"/>
                                    <a:pt x="35271" y="35309"/>
                                    <a:pt x="33131" y="37449"/>
                                  </a:cubicBezTo>
                                  <a:cubicBezTo>
                                    <a:pt x="31353" y="39227"/>
                                    <a:pt x="32253" y="44811"/>
                                    <a:pt x="34767" y="44811"/>
                                  </a:cubicBezTo>
                                  <a:cubicBezTo>
                                    <a:pt x="36403" y="44811"/>
                                    <a:pt x="38314" y="45718"/>
                                    <a:pt x="39675" y="44811"/>
                                  </a:cubicBezTo>
                                  <a:cubicBezTo>
                                    <a:pt x="41767" y="43417"/>
                                    <a:pt x="41311" y="39963"/>
                                    <a:pt x="41311" y="37449"/>
                                  </a:cubicBezTo>
                                  <a:cubicBezTo>
                                    <a:pt x="41311" y="29042"/>
                                    <a:pt x="39669" y="20654"/>
                                    <a:pt x="37630" y="12498"/>
                                  </a:cubicBezTo>
                                  <a:cubicBezTo>
                                    <a:pt x="36403" y="7590"/>
                                    <a:pt x="36403" y="7590"/>
                                    <a:pt x="35176" y="2682"/>
                                  </a:cubicBezTo>
                                  <a:cubicBezTo>
                                    <a:pt x="34954" y="1794"/>
                                    <a:pt x="34238" y="-641"/>
                                    <a:pt x="33949" y="227"/>
                                  </a:cubicBezTo>
                                  <a:cubicBezTo>
                                    <a:pt x="28702" y="15968"/>
                                    <a:pt x="36945" y="33290"/>
                                    <a:pt x="39266" y="49719"/>
                                  </a:cubicBezTo>
                                  <a:cubicBezTo>
                                    <a:pt x="41477" y="65368"/>
                                    <a:pt x="40781" y="82215"/>
                                    <a:pt x="47856" y="96348"/>
                                  </a:cubicBez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634394" y="1429295"/>
                              <a:ext cx="1528050" cy="1229325"/>
                            </a:xfrm>
                            <a:custGeom>
                              <a:rect b="b" l="l" r="r" t="t"/>
                              <a:pathLst>
                                <a:path extrusionOk="0" h="49173" w="61122">
                                  <a:moveTo>
                                    <a:pt x="25512" y="6636"/>
                                  </a:moveTo>
                                  <a:cubicBezTo>
                                    <a:pt x="27762" y="3364"/>
                                    <a:pt x="26172" y="1102"/>
                                    <a:pt x="30012" y="92"/>
                                  </a:cubicBezTo>
                                  <a:cubicBezTo>
                                    <a:pt x="32815" y="-646"/>
                                    <a:pt x="33927" y="8899"/>
                                    <a:pt x="35738" y="6636"/>
                                  </a:cubicBezTo>
                                  <a:cubicBezTo>
                                    <a:pt x="36948" y="5123"/>
                                    <a:pt x="37519" y="1757"/>
                                    <a:pt x="39419" y="2137"/>
                                  </a:cubicBezTo>
                                  <a:cubicBezTo>
                                    <a:pt x="40795" y="2412"/>
                                    <a:pt x="41464" y="7222"/>
                                    <a:pt x="41464" y="5818"/>
                                  </a:cubicBezTo>
                                  <a:cubicBezTo>
                                    <a:pt x="41464" y="1864"/>
                                    <a:pt x="50530" y="3022"/>
                                    <a:pt x="53326" y="5818"/>
                                  </a:cubicBezTo>
                                  <a:cubicBezTo>
                                    <a:pt x="60920" y="13412"/>
                                    <a:pt x="63984" y="28924"/>
                                    <a:pt x="57825" y="37722"/>
                                  </a:cubicBezTo>
                                  <a:cubicBezTo>
                                    <a:pt x="46955" y="53251"/>
                                    <a:pt x="10264" y="53016"/>
                                    <a:pt x="971" y="36495"/>
                                  </a:cubicBezTo>
                                  <a:cubicBezTo>
                                    <a:pt x="-4604" y="26584"/>
                                    <a:pt x="16865" y="18102"/>
                                    <a:pt x="27966" y="15635"/>
                                  </a:cubicBez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658675" y="797600"/>
                              <a:ext cx="1145275" cy="102250"/>
                            </a:xfrm>
                            <a:custGeom>
                              <a:rect b="b" l="l" r="r" t="t"/>
                              <a:pathLst>
                                <a:path extrusionOk="0" h="4090" w="45811">
                                  <a:moveTo>
                                    <a:pt x="0" y="4090"/>
                                  </a:moveTo>
                                  <a:cubicBezTo>
                                    <a:pt x="15315" y="3394"/>
                                    <a:pt x="30556" y="1525"/>
                                    <a:pt x="45811" y="0"/>
                                  </a:cubicBez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229200" y="1861075"/>
                              <a:ext cx="501050" cy="81800"/>
                            </a:xfrm>
                            <a:custGeom>
                              <a:rect b="b" l="l" r="r" t="t"/>
                              <a:pathLst>
                                <a:path extrusionOk="0" h="3272" w="20042">
                                  <a:moveTo>
                                    <a:pt x="0" y="3272"/>
                                  </a:moveTo>
                                  <a:cubicBezTo>
                                    <a:pt x="6769" y="3272"/>
                                    <a:pt x="13434" y="1468"/>
                                    <a:pt x="20042" y="0"/>
                                  </a:cubicBez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093806" cy="994369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3806" cy="9943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Giuliana Tevez</w:t>
      </w:r>
    </w:p>
    <w:p w:rsidR="00000000" w:rsidDel="00000000" w:rsidP="00000000" w:rsidRDefault="00000000" w:rsidRPr="00000000" w14:paraId="000000C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 y aclaración del docente</w:t>
      </w:r>
    </w:p>
    <w:p w:rsidR="00000000" w:rsidDel="00000000" w:rsidP="00000000" w:rsidRDefault="00000000" w:rsidRPr="00000000" w14:paraId="000000C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41.73228346456693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color w:val="9900ff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color w:val="9900ff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color w:val="9900ff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color w:val="9900ff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1440" w:hanging="360"/>
      </w:pPr>
      <w:rPr>
        <w:color w:val="a64d79"/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✔"/>
      <w:lvlJc w:val="left"/>
      <w:pPr>
        <w:ind w:left="1428" w:hanging="360"/>
      </w:pPr>
      <w:rPr>
        <w:rFonts w:ascii="Noto Sans Symbols" w:cs="Noto Sans Symbols" w:eastAsia="Noto Sans Symbols" w:hAnsi="Noto Sans Symbols"/>
        <w:color w:val="a64d79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-"/>
      <w:lvlJc w:val="left"/>
      <w:pPr>
        <w:ind w:left="1440" w:hanging="360"/>
      </w:pPr>
      <w:rPr>
        <w:color w:val="9900ff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➢"/>
      <w:lvlJc w:val="left"/>
      <w:pPr>
        <w:ind w:left="720" w:hanging="360"/>
      </w:pPr>
      <w:rPr>
        <w:color w:val="a64d7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color w:val="9900ff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color w:val="9900ff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1440" w:hanging="360"/>
      </w:pPr>
      <w:rPr>
        <w:color w:val="9900ff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color w:val="9900ff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color w:val="9900ff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color w:val="9900ff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❖"/>
      <w:lvlJc w:val="left"/>
      <w:pPr>
        <w:ind w:left="1440" w:hanging="360"/>
      </w:pPr>
      <w:rPr>
        <w:color w:val="a64d79"/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color w:val="9900ff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color w:val="9900ff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color w:val="9900ff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-"/>
      <w:lvlJc w:val="left"/>
      <w:pPr>
        <w:ind w:left="720" w:hanging="360"/>
      </w:pPr>
      <w:rPr>
        <w:color w:val="9900ff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-"/>
      <w:lvlJc w:val="left"/>
      <w:pPr>
        <w:ind w:left="720" w:hanging="360"/>
      </w:pPr>
      <w:rPr>
        <w:color w:val="9900ff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D71E59"/>
    <w:rPr>
      <w:kern w:val="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D71E59"/>
    <w:pPr>
      <w:spacing w:after="0" w:line="240" w:lineRule="auto"/>
    </w:pPr>
    <w:rPr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D71E59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4A484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A4847"/>
    <w:rPr>
      <w:kern w:val="0"/>
    </w:rPr>
  </w:style>
  <w:style w:type="paragraph" w:styleId="Ttulo">
    <w:name w:val="Title"/>
    <w:basedOn w:val="Normal"/>
    <w:next w:val="Normal"/>
    <w:link w:val="TtuloCar"/>
    <w:uiPriority w:val="10"/>
    <w:qFormat w:val="1"/>
    <w:rsid w:val="004A4847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A484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.png"/><Relationship Id="rId11" Type="http://schemas.openxmlformats.org/officeDocument/2006/relationships/hyperlink" Target="https://www.educ.ar/recursos/132575/nap-educacion-primaria-primer-ciclo" TargetMode="External"/><Relationship Id="rId10" Type="http://schemas.openxmlformats.org/officeDocument/2006/relationships/hyperlink" Target="https://www.educ.ar/recursos/92242" TargetMode="External"/><Relationship Id="rId13" Type="http://schemas.openxmlformats.org/officeDocument/2006/relationships/hyperlink" Target="https://www.youtube.com/watch?v=l6M2yqv9Nvc&amp;ab_channel=Pibxs202X" TargetMode="External"/><Relationship Id="rId12" Type="http://schemas.openxmlformats.org/officeDocument/2006/relationships/hyperlink" Target="https://www.argentina.gob.ar/turismoydeportes/secretaria-de-deportes/esi-la-canch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evistaanfibia.com/como-ensenar-a-leer-y-escribir/" TargetMode="External"/><Relationship Id="rId15" Type="http://schemas.openxmlformats.org/officeDocument/2006/relationships/hyperlink" Target="https://www.youtube.com/watch?v=H7vF6SctjbE" TargetMode="External"/><Relationship Id="rId14" Type="http://schemas.openxmlformats.org/officeDocument/2006/relationships/hyperlink" Target="https://www.youtube.com/watch?v=TJlGzfGMCzs&amp;t=61s&amp;ab_channel=Pibxs202X" TargetMode="External"/><Relationship Id="rId17" Type="http://schemas.openxmlformats.org/officeDocument/2006/relationships/hyperlink" Target="https://view.genially.com/654acd5e789e0900106b71bf/interactive-content-m3-buenas-practicas" TargetMode="External"/><Relationship Id="rId16" Type="http://schemas.openxmlformats.org/officeDocument/2006/relationships/hyperlink" Target="https://view.genially.com/6410c4342241b80012cb57a7/interactive-content-ed-fisica-ddhh-m3-p3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youtube.com/watch?v=wn12I-Bwe7g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memoria.fahce.unlp.edu.ar/art_revistas/pr.14080/pr.14080.pdf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www.youtube.com/watch?v=1wvKs9JTtG8&amp;t=3s&amp;ab_channel=WarnerBros.PicturesArgentin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t3//l6iFs03iTX6Wn5TDaJnSNw==">CgMxLjAaHwoBMBIaChgICVIUChJ0YWJsZS5hdG5md2h5YTJkNmYyCGguZ2pkZ3hzOAByITF0REZDbDNGQmhIV1BXZFdYdElUTVRZV1N2U0x6Mm9Dbg==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2025-01-21T13:18:00Z</dcterms:created>
  <dc:creator>Alumno</dc:creator>
</cp:coreProperties>
</file>